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6A2" w:rsidRDefault="007776A2" w:rsidP="007776A2">
      <w:pPr>
        <w:spacing w:line="480" w:lineRule="auto"/>
        <w:jc w:val="center"/>
        <w:rPr>
          <w:b/>
        </w:rPr>
      </w:pPr>
    </w:p>
    <w:p w:rsidR="007776A2" w:rsidRDefault="007776A2" w:rsidP="007776A2">
      <w:pPr>
        <w:spacing w:line="480" w:lineRule="auto"/>
        <w:jc w:val="center"/>
        <w:rPr>
          <w:b/>
        </w:rPr>
      </w:pPr>
    </w:p>
    <w:p w:rsidR="007776A2" w:rsidRDefault="007776A2" w:rsidP="007776A2">
      <w:pPr>
        <w:spacing w:line="480" w:lineRule="auto"/>
        <w:jc w:val="center"/>
        <w:rPr>
          <w:b/>
        </w:rPr>
      </w:pPr>
    </w:p>
    <w:p w:rsidR="007776A2" w:rsidRDefault="007776A2" w:rsidP="007776A2">
      <w:pPr>
        <w:spacing w:line="480" w:lineRule="auto"/>
        <w:jc w:val="center"/>
        <w:rPr>
          <w:b/>
        </w:rPr>
      </w:pPr>
    </w:p>
    <w:p w:rsidR="007776A2" w:rsidRDefault="007776A2" w:rsidP="007776A2">
      <w:pPr>
        <w:spacing w:line="480" w:lineRule="auto"/>
        <w:jc w:val="center"/>
        <w:rPr>
          <w:b/>
        </w:rPr>
      </w:pPr>
    </w:p>
    <w:p w:rsidR="007776A2" w:rsidRDefault="007776A2" w:rsidP="007776A2">
      <w:pPr>
        <w:spacing w:line="480" w:lineRule="auto"/>
        <w:jc w:val="center"/>
        <w:rPr>
          <w:b/>
        </w:rPr>
      </w:pPr>
    </w:p>
    <w:p w:rsidR="007776A2" w:rsidRPr="007776A2" w:rsidRDefault="007776A2" w:rsidP="007776A2">
      <w:pPr>
        <w:spacing w:line="480" w:lineRule="auto"/>
        <w:jc w:val="center"/>
        <w:rPr>
          <w:b/>
        </w:rPr>
      </w:pPr>
      <w:r w:rsidRPr="007776A2">
        <w:rPr>
          <w:b/>
        </w:rPr>
        <w:t>Juvenile Gangs</w:t>
      </w:r>
    </w:p>
    <w:p w:rsidR="007776A2" w:rsidRDefault="007776A2" w:rsidP="007776A2">
      <w:pPr>
        <w:spacing w:line="480" w:lineRule="auto"/>
        <w:jc w:val="center"/>
      </w:pPr>
      <w:r>
        <w:t>Student’s name</w:t>
      </w:r>
    </w:p>
    <w:p w:rsidR="007776A2" w:rsidRDefault="007776A2" w:rsidP="007776A2">
      <w:pPr>
        <w:spacing w:line="480" w:lineRule="auto"/>
        <w:jc w:val="center"/>
      </w:pPr>
      <w:r>
        <w:t>Professor’s name</w:t>
      </w:r>
    </w:p>
    <w:p w:rsidR="007776A2" w:rsidRDefault="007776A2" w:rsidP="007776A2">
      <w:pPr>
        <w:spacing w:line="480" w:lineRule="auto"/>
        <w:jc w:val="center"/>
      </w:pPr>
      <w:r>
        <w:t>Institution</w:t>
      </w:r>
    </w:p>
    <w:p w:rsidR="007776A2" w:rsidRDefault="007776A2" w:rsidP="007776A2">
      <w:pPr>
        <w:spacing w:line="480" w:lineRule="auto"/>
        <w:jc w:val="center"/>
      </w:pPr>
      <w:r>
        <w:t>Course</w:t>
      </w:r>
    </w:p>
    <w:p w:rsidR="007776A2" w:rsidRDefault="007776A2" w:rsidP="007776A2">
      <w:pPr>
        <w:spacing w:line="480" w:lineRule="auto"/>
        <w:jc w:val="center"/>
      </w:pPr>
    </w:p>
    <w:p w:rsidR="007776A2" w:rsidRDefault="007776A2" w:rsidP="007776A2">
      <w:pPr>
        <w:spacing w:line="480" w:lineRule="auto"/>
        <w:jc w:val="center"/>
      </w:pPr>
    </w:p>
    <w:p w:rsidR="007776A2" w:rsidRDefault="007776A2" w:rsidP="007776A2">
      <w:pPr>
        <w:spacing w:line="480" w:lineRule="auto"/>
        <w:jc w:val="center"/>
      </w:pPr>
    </w:p>
    <w:p w:rsidR="007776A2" w:rsidRDefault="007776A2" w:rsidP="007776A2">
      <w:pPr>
        <w:spacing w:line="480" w:lineRule="auto"/>
        <w:jc w:val="center"/>
      </w:pPr>
    </w:p>
    <w:p w:rsidR="007776A2" w:rsidRDefault="007776A2" w:rsidP="007776A2">
      <w:pPr>
        <w:spacing w:line="480" w:lineRule="auto"/>
        <w:jc w:val="center"/>
      </w:pPr>
    </w:p>
    <w:p w:rsidR="007776A2" w:rsidRDefault="007776A2" w:rsidP="007776A2">
      <w:pPr>
        <w:spacing w:line="480" w:lineRule="auto"/>
        <w:jc w:val="center"/>
      </w:pPr>
    </w:p>
    <w:p w:rsidR="009801FD" w:rsidRPr="007776A2" w:rsidRDefault="009801FD" w:rsidP="007776A2">
      <w:pPr>
        <w:spacing w:line="480" w:lineRule="auto"/>
        <w:jc w:val="center"/>
        <w:rPr>
          <w:b/>
        </w:rPr>
      </w:pPr>
      <w:r w:rsidRPr="007776A2">
        <w:rPr>
          <w:b/>
        </w:rPr>
        <w:lastRenderedPageBreak/>
        <w:t xml:space="preserve">Juvenile </w:t>
      </w:r>
      <w:r w:rsidR="007776A2" w:rsidRPr="007776A2">
        <w:rPr>
          <w:b/>
        </w:rPr>
        <w:t>G</w:t>
      </w:r>
      <w:r w:rsidRPr="007776A2">
        <w:rPr>
          <w:b/>
        </w:rPr>
        <w:t>angs</w:t>
      </w:r>
    </w:p>
    <w:p w:rsidR="009801FD" w:rsidRDefault="009801FD" w:rsidP="007776A2">
      <w:pPr>
        <w:spacing w:line="480" w:lineRule="auto"/>
        <w:ind w:firstLine="720"/>
      </w:pPr>
      <w:r>
        <w:t xml:space="preserve">Juvenile gangs may have appeared first in England or in Mexico. In the United States, they first appeared in 1783 after the American Revolution. Adolescent play groups might have encouraged growth of these gangs. Mexican migration in 1813 contributed to growth </w:t>
      </w:r>
      <w:proofErr w:type="spellStart"/>
      <w:r>
        <w:t>f</w:t>
      </w:r>
      <w:proofErr w:type="spellEnd"/>
      <w:r>
        <w:t xml:space="preserve"> gangs because of the social and cultural adjustments that youths had to undergo while living in extremely poor conditions. The practice of forming gangs spread to New England and during the industrial revolution youths in New York, Boston, Philadelphia and Chicago got their share of youth gangs. Gang growth and peak activity was witnessed in the US in the late 1800s, 1920s, 1960s and 1990s</w:t>
      </w:r>
      <w:r w:rsidR="00B63B51">
        <w:t xml:space="preserve"> (</w:t>
      </w:r>
      <w:r w:rsidR="00B63B51">
        <w:rPr>
          <w:shd w:val="clear" w:color="auto" w:fill="FFFFFF"/>
        </w:rPr>
        <w:t>Mora</w:t>
      </w:r>
      <w:r w:rsidR="00B63B51">
        <w:rPr>
          <w:shd w:val="clear" w:color="auto" w:fill="FFFFFF"/>
        </w:rPr>
        <w:t>, 2020)</w:t>
      </w:r>
      <w:r>
        <w:t xml:space="preserve">. As time passed gangs adjusted to the new conditions, such as acquiring firearms, selling drugs or acquiring territory. Modern era gangs have access to more lethal weapons, which has made them more lethal. </w:t>
      </w:r>
      <w:r w:rsidR="007305F4">
        <w:t xml:space="preserve">Activities carried out by gang members include drug trafficking, intimidation and extortion, vandalism, assault, swarming, theft, murder, stabbings and shootings. </w:t>
      </w:r>
      <w:r>
        <w:t xml:space="preserve">Previously gang fights involved fists and brass knuckles but now they involve guns and automobiles, which often end up in drive-in shootings. </w:t>
      </w:r>
      <w:r w:rsidR="007305F4">
        <w:t>Joining juvenile gangs involves associating with gang members and recognizing those in charge until one is accepted as a member</w:t>
      </w:r>
      <w:r w:rsidR="00B63B51">
        <w:t xml:space="preserve"> (</w:t>
      </w:r>
      <w:r w:rsidR="00B63B51">
        <w:rPr>
          <w:shd w:val="clear" w:color="auto" w:fill="FFFFFF"/>
        </w:rPr>
        <w:t>Mora</w:t>
      </w:r>
      <w:r w:rsidR="00B63B51">
        <w:rPr>
          <w:shd w:val="clear" w:color="auto" w:fill="FFFFFF"/>
        </w:rPr>
        <w:t>, 2020)</w:t>
      </w:r>
      <w:r w:rsidR="007305F4">
        <w:t xml:space="preserve">. Adolescents in most cases hang out with gang members for over a year before they are accepted. Initiation rites </w:t>
      </w:r>
      <w:r w:rsidR="007B240E">
        <w:t>range from receiving thorough beating to shooting things described by the gang. Gangs recruit people from time to time to keep adequate number of members present. The three typologies of gangs include coercion, obligation and fraternity</w:t>
      </w:r>
      <w:r w:rsidR="00B63B51">
        <w:t xml:space="preserve"> (</w:t>
      </w:r>
      <w:r w:rsidR="00B63B51">
        <w:rPr>
          <w:shd w:val="clear" w:color="auto" w:fill="FFFFFF"/>
        </w:rPr>
        <w:t>Mora</w:t>
      </w:r>
      <w:r w:rsidR="00B63B51">
        <w:rPr>
          <w:shd w:val="clear" w:color="auto" w:fill="FFFFFF"/>
        </w:rPr>
        <w:t>, 2020)</w:t>
      </w:r>
      <w:r w:rsidR="007B240E">
        <w:t xml:space="preserve">. Fraternity argues that it’s the nice new thing to be in, obligation appeals to the sense of belonging to a community while coercion uses psychological intimidation. For fragile adolescents, gangs give them a sense </w:t>
      </w:r>
      <w:proofErr w:type="spellStart"/>
      <w:r w:rsidR="007B240E">
        <w:t>f</w:t>
      </w:r>
      <w:proofErr w:type="spellEnd"/>
      <w:r w:rsidR="007B240E">
        <w:t xml:space="preserve"> belonging, reassure some they are important and give them new friends. </w:t>
      </w:r>
      <w:r>
        <w:t xml:space="preserve">The most common gang offenses include </w:t>
      </w:r>
      <w:r w:rsidR="003C79BB">
        <w:t xml:space="preserve">property crimes, drug sales and </w:t>
      </w:r>
      <w:r w:rsidR="003C79BB">
        <w:lastRenderedPageBreak/>
        <w:t xml:space="preserve">violent crimes. Gangs fight against each other for territory, drug related reasons and petty arguments. Return of gang members from prison has been known to cause intragang conflicts. Emergence of new gangs often involves older gangs fighting the new one. From 2006 to 2012, return of gang members from prison and intra-gang conflicts have increased their importance by over 10%. Conflicts from emergence of new gangs have declined in importance over the years. </w:t>
      </w:r>
      <w:r w:rsidR="007305F4">
        <w:t>The</w:t>
      </w:r>
      <w:r w:rsidR="003C79BB">
        <w:t xml:space="preserve"> most common criminal offenses include aggravated assault, robbery, larceny, motor vehicle theft, drug sales and firearms use. </w:t>
      </w:r>
    </w:p>
    <w:p w:rsidR="00AF51CD" w:rsidRPr="00F102F0" w:rsidRDefault="00AF51CD" w:rsidP="007776A2">
      <w:pPr>
        <w:spacing w:line="480" w:lineRule="auto"/>
        <w:rPr>
          <w:b/>
        </w:rPr>
      </w:pPr>
      <w:r w:rsidRPr="00F102F0">
        <w:rPr>
          <w:b/>
        </w:rPr>
        <w:t xml:space="preserve">Legal </w:t>
      </w:r>
      <w:r w:rsidR="00C34FD4">
        <w:rPr>
          <w:b/>
        </w:rPr>
        <w:t>Rights of S</w:t>
      </w:r>
      <w:r w:rsidRPr="00F102F0">
        <w:rPr>
          <w:b/>
        </w:rPr>
        <w:t xml:space="preserve">tudents </w:t>
      </w:r>
      <w:r w:rsidR="00C34FD4">
        <w:rPr>
          <w:b/>
        </w:rPr>
        <w:t>in S</w:t>
      </w:r>
      <w:r w:rsidRPr="00F102F0">
        <w:rPr>
          <w:b/>
        </w:rPr>
        <w:t xml:space="preserve">chool </w:t>
      </w:r>
    </w:p>
    <w:p w:rsidR="00AF51CD" w:rsidRDefault="00AF51CD" w:rsidP="007776A2">
      <w:pPr>
        <w:tabs>
          <w:tab w:val="left" w:pos="6521"/>
        </w:tabs>
        <w:spacing w:line="480" w:lineRule="auto"/>
        <w:ind w:firstLine="567"/>
      </w:pPr>
      <w:r>
        <w:t>Students do not give up on their legal rights when they walk into school. Although their rights are limited or restricted on school grounds, some rights such as right to free speech still apply to students</w:t>
      </w:r>
      <w:r w:rsidR="00C34FD4">
        <w:t xml:space="preserve"> (</w:t>
      </w:r>
      <w:r w:rsidR="00C34FD4">
        <w:rPr>
          <w:shd w:val="clear" w:color="auto" w:fill="FFFFFF"/>
        </w:rPr>
        <w:t>Wolf</w:t>
      </w:r>
      <w:r w:rsidR="00C34FD4">
        <w:rPr>
          <w:shd w:val="clear" w:color="auto" w:fill="FFFFFF"/>
        </w:rPr>
        <w:t>, 2017)</w:t>
      </w:r>
      <w:r>
        <w:t xml:space="preserve">. Some students argue that they should not be punished for talking in school because the first amendment protects their freedom of expression. School administrators do not agree with this observation because lack of control on the part of teachers would turn schools into chaos. Students may still enjoy their rights and freedoms, but they are restricted by the administrators and teachers. A good example would be from presented in T.L.O. v. </w:t>
      </w:r>
      <w:proofErr w:type="gramStart"/>
      <w:r>
        <w:t xml:space="preserve">New Jersey, a case where students’ rights </w:t>
      </w:r>
      <w:r w:rsidR="00D465B6">
        <w:t>are limited because they are in school.</w:t>
      </w:r>
      <w:proofErr w:type="gramEnd"/>
      <w:r w:rsidR="00D465B6">
        <w:t xml:space="preserve"> In this case, s</w:t>
      </w:r>
      <w:r>
        <w:t xml:space="preserve">tudents have a lower level of expectation of privacy. </w:t>
      </w:r>
      <w:r w:rsidR="00D465B6">
        <w:t>In New Jersey v. T.L.O, two girls were found smoking by a teacher. One of the girls admitted to smoking while the second girl, T.L.O, denied it. The principal asked for T.L.O’s purse and found that she was selling marijuana. When T.L.O was taken to a juvenile court, she argued that the search and seizure was unconstitutional and that the school had violated her Fourth Amendment rights. However, the court decided the school did not do anything wrong. She took the case to the Supreme Court, which, by a margin of 6-3, ruled that the search had reached the appropriate reasonableness</w:t>
      </w:r>
      <w:r w:rsidR="00C34FD4">
        <w:t xml:space="preserve"> (</w:t>
      </w:r>
      <w:r w:rsidR="00C34FD4">
        <w:rPr>
          <w:shd w:val="clear" w:color="auto" w:fill="FFFFFF"/>
        </w:rPr>
        <w:t>Wolf</w:t>
      </w:r>
      <w:r w:rsidR="00C34FD4">
        <w:rPr>
          <w:shd w:val="clear" w:color="auto" w:fill="FFFFFF"/>
        </w:rPr>
        <w:t>, 2017)</w:t>
      </w:r>
      <w:r w:rsidR="00D465B6">
        <w:t xml:space="preserve">. School </w:t>
      </w:r>
      <w:r w:rsidR="00D465B6">
        <w:lastRenderedPageBreak/>
        <w:t xml:space="preserve">administrators like the principal do not need search warrants or probable cause because students have a low expectation of privacy. In another case involving Safford Unified School District v. Redding, </w:t>
      </w:r>
      <w:r w:rsidR="00B56FF3">
        <w:t xml:space="preserve">a search was overturned because of how it was conducted. In this case, it involved checking into a girl’s underpants whether she had pills in school. The nature of the strip search was not justified according to the Supreme Court. The scope of intrusion was too much for the female student considering her sex, age and humiliation she suffered from the search. They argued that although schools have some power over kids and that kids lose much of their freedom in school, strip-searching a 13-year-old girl was violating the girl’s constitutional rights. Although schools do these things to keep schools safe, at times they go against the children’s legal rights. The judiciary is always advised to stay out of it, but when students sue schools, the judiciary has no option but to make a ruling. In some cases, schools go too far. </w:t>
      </w:r>
    </w:p>
    <w:p w:rsidR="00AF51CD" w:rsidRPr="007776A2" w:rsidRDefault="005769D1" w:rsidP="007776A2">
      <w:pPr>
        <w:spacing w:line="480" w:lineRule="auto"/>
        <w:jc w:val="center"/>
        <w:rPr>
          <w:b/>
        </w:rPr>
      </w:pPr>
      <w:r w:rsidRPr="007776A2">
        <w:rPr>
          <w:b/>
        </w:rPr>
        <w:t xml:space="preserve">Juvenile </w:t>
      </w:r>
      <w:r w:rsidR="007776A2" w:rsidRPr="007776A2">
        <w:rPr>
          <w:b/>
        </w:rPr>
        <w:t>R</w:t>
      </w:r>
      <w:r w:rsidRPr="007776A2">
        <w:rPr>
          <w:b/>
        </w:rPr>
        <w:t>esponsibility</w:t>
      </w:r>
    </w:p>
    <w:p w:rsidR="005769D1" w:rsidRDefault="00CE665E" w:rsidP="007776A2">
      <w:pPr>
        <w:spacing w:line="480" w:lineRule="auto"/>
        <w:ind w:firstLine="720"/>
      </w:pPr>
      <w:r>
        <w:t xml:space="preserve">Before </w:t>
      </w:r>
      <w:r w:rsidR="00D860D2">
        <w:t xml:space="preserve">the 1900s, all law </w:t>
      </w:r>
      <w:r>
        <w:t>breakers were treated like adults. However, in 1899, the Illinois Juvenile Court Act started treating children differently. Illinois law established a different juvenile court that aimed at saving children from becoming criminals</w:t>
      </w:r>
      <w:r w:rsidR="007776A2">
        <w:t xml:space="preserve"> (</w:t>
      </w:r>
      <w:r w:rsidR="007776A2">
        <w:rPr>
          <w:shd w:val="clear" w:color="auto" w:fill="FFFFFF"/>
        </w:rPr>
        <w:t>Gurda</w:t>
      </w:r>
      <w:r w:rsidR="007776A2">
        <w:rPr>
          <w:shd w:val="clear" w:color="auto" w:fill="FFFFFF"/>
        </w:rPr>
        <w:t>, 2020)</w:t>
      </w:r>
      <w:r>
        <w:t xml:space="preserve">. It intended to change parents’ responsibilities of taking care of kids to children in jail. Adolescents were to be treated differently because they have less responsibility over their actions when compared to adults. When arrested for criminal activities, juveniles receive less than what adults who have committed the same crime receive. </w:t>
      </w:r>
      <w:r w:rsidR="009A3C5F">
        <w:t>Although</w:t>
      </w:r>
      <w:r>
        <w:t xml:space="preserve"> the child or the adolescent might have had the</w:t>
      </w:r>
      <w:r w:rsidR="009A3C5F">
        <w:t xml:space="preserve"> intent to commit the crime, thei</w:t>
      </w:r>
      <w:r>
        <w:t>r reasoning is not sound enough to be judged like an adult.</w:t>
      </w:r>
      <w:r w:rsidR="009A3C5F">
        <w:t xml:space="preserve"> Since children do not know the nature and quality of their actions, they cannot be blamed held accountable for a crime. Their reasoning does not fully comprehend the idea of </w:t>
      </w:r>
      <w:r w:rsidR="007776A2">
        <w:t>committing</w:t>
      </w:r>
      <w:r w:rsidR="009A3C5F">
        <w:t xml:space="preserve"> a crime or distinguishing right from wrong. Children can be compared to insane people because </w:t>
      </w:r>
      <w:r w:rsidR="009A3C5F">
        <w:lastRenderedPageBreak/>
        <w:t xml:space="preserve">their reasoning has not matured yet. However, for warning purposes and disciplining them, they have to go through the juvenile system. Judges do not listen to these cases the same way adult cases are listened to. Each case is treated differently for the sake of the child involved. Children are judged with the intent to help them reform and not to punish them. </w:t>
      </w:r>
      <w:r>
        <w:t xml:space="preserve">Juvenile procedures are also handled using informal procedures and in discretionary processes. </w:t>
      </w:r>
      <w:r w:rsidR="009A3C5F">
        <w:t>The juvenile system has responsibility over children because in most cases they have no one to take care of them. Some are arrested for petty thefts while other are sunning away from the pinching assault of hunger and cold</w:t>
      </w:r>
      <w:r w:rsidR="007776A2">
        <w:t xml:space="preserve"> (</w:t>
      </w:r>
      <w:r w:rsidR="007776A2">
        <w:rPr>
          <w:shd w:val="clear" w:color="auto" w:fill="FFFFFF"/>
        </w:rPr>
        <w:t>Gurda</w:t>
      </w:r>
      <w:r w:rsidR="007776A2">
        <w:rPr>
          <w:shd w:val="clear" w:color="auto" w:fill="FFFFFF"/>
        </w:rPr>
        <w:t>, 2020)</w:t>
      </w:r>
      <w:r w:rsidR="009A3C5F">
        <w:t>. The children are products of their environment. What the system tries to do is give these children a different set of environm</w:t>
      </w:r>
      <w:r w:rsidR="00D860D2">
        <w:t>ent and try to reform their behav</w:t>
      </w:r>
      <w:r w:rsidR="009A3C5F">
        <w:t xml:space="preserve">ior. </w:t>
      </w:r>
      <w:r w:rsidR="00D860D2">
        <w:t>Delinquent and neglected children are treated the same because they both have the potential to be outstanding citizens. States act as a mother when they receive children in juvenile centers. The juvenile system is designed in a way that views criminal life as a coming disease. The habit of committing offenses can be stopped if it is dealt with at the right time. Although this system has been faced with a lot of criticism and controversy, it allows children to get a chance to reform and choose better lives</w:t>
      </w:r>
      <w:r w:rsidR="007776A2">
        <w:t xml:space="preserve"> (</w:t>
      </w:r>
      <w:r w:rsidR="007776A2">
        <w:rPr>
          <w:shd w:val="clear" w:color="auto" w:fill="FFFFFF"/>
        </w:rPr>
        <w:t>Gurda</w:t>
      </w:r>
      <w:r w:rsidR="007776A2">
        <w:rPr>
          <w:shd w:val="clear" w:color="auto" w:fill="FFFFFF"/>
        </w:rPr>
        <w:t>, 2020)</w:t>
      </w:r>
      <w:r w:rsidR="00D860D2">
        <w:t xml:space="preserve">. The system is not perfect but it offers children time and resources to reform. </w:t>
      </w:r>
    </w:p>
    <w:p w:rsidR="007776A2" w:rsidRDefault="007776A2" w:rsidP="007776A2">
      <w:pPr>
        <w:spacing w:line="480" w:lineRule="auto"/>
        <w:ind w:firstLine="720"/>
      </w:pPr>
    </w:p>
    <w:p w:rsidR="007776A2" w:rsidRDefault="007776A2" w:rsidP="007776A2">
      <w:pPr>
        <w:spacing w:line="480" w:lineRule="auto"/>
        <w:ind w:firstLine="720"/>
      </w:pPr>
    </w:p>
    <w:p w:rsidR="007776A2" w:rsidRDefault="007776A2" w:rsidP="007776A2">
      <w:pPr>
        <w:spacing w:line="480" w:lineRule="auto"/>
        <w:ind w:firstLine="720"/>
      </w:pPr>
    </w:p>
    <w:p w:rsidR="007776A2" w:rsidRDefault="007776A2" w:rsidP="007776A2">
      <w:pPr>
        <w:spacing w:line="480" w:lineRule="auto"/>
        <w:ind w:firstLine="720"/>
      </w:pPr>
    </w:p>
    <w:p w:rsidR="007776A2" w:rsidRDefault="007776A2" w:rsidP="007776A2">
      <w:pPr>
        <w:spacing w:line="480" w:lineRule="auto"/>
        <w:ind w:firstLine="720"/>
      </w:pPr>
    </w:p>
    <w:p w:rsidR="007776A2" w:rsidRDefault="007776A2" w:rsidP="00E2540D">
      <w:pPr>
        <w:spacing w:line="480" w:lineRule="auto"/>
        <w:jc w:val="center"/>
      </w:pPr>
      <w:bookmarkStart w:id="0" w:name="_GoBack"/>
      <w:bookmarkEnd w:id="0"/>
      <w:r>
        <w:lastRenderedPageBreak/>
        <w:t>References</w:t>
      </w:r>
    </w:p>
    <w:p w:rsidR="00E2540D" w:rsidRDefault="00E2540D" w:rsidP="00E2540D">
      <w:pPr>
        <w:spacing w:line="480" w:lineRule="auto"/>
        <w:ind w:left="720" w:hanging="720"/>
        <w:rPr>
          <w:shd w:val="clear" w:color="auto" w:fill="FFFFFF"/>
        </w:rPr>
      </w:pPr>
      <w:proofErr w:type="gramStart"/>
      <w:r>
        <w:rPr>
          <w:shd w:val="clear" w:color="auto" w:fill="FFFFFF"/>
        </w:rPr>
        <w:t>Gurda, V. (2020).</w:t>
      </w:r>
      <w:proofErr w:type="gramEnd"/>
      <w:r>
        <w:rPr>
          <w:shd w:val="clear" w:color="auto" w:fill="FFFFFF"/>
        </w:rPr>
        <w:t xml:space="preserve"> </w:t>
      </w:r>
      <w:proofErr w:type="gramStart"/>
      <w:r>
        <w:rPr>
          <w:shd w:val="clear" w:color="auto" w:fill="FFFFFF"/>
        </w:rPr>
        <w:t>Age Limits of Juvenile Criminal Responsibility in Comparative Law.</w:t>
      </w:r>
      <w:proofErr w:type="gramEnd"/>
      <w:r>
        <w:rPr>
          <w:shd w:val="clear" w:color="auto" w:fill="FFFFFF"/>
        </w:rPr>
        <w:t> </w:t>
      </w:r>
      <w:proofErr w:type="spellStart"/>
      <w:r>
        <w:rPr>
          <w:i/>
          <w:iCs/>
          <w:shd w:val="clear" w:color="auto" w:fill="FFFFFF"/>
        </w:rPr>
        <w:t>Zb</w:t>
      </w:r>
      <w:proofErr w:type="spellEnd"/>
      <w:r>
        <w:rPr>
          <w:i/>
          <w:iCs/>
          <w:shd w:val="clear" w:color="auto" w:fill="FFFFFF"/>
        </w:rPr>
        <w:t xml:space="preserve">. </w:t>
      </w:r>
      <w:proofErr w:type="spellStart"/>
      <w:r>
        <w:rPr>
          <w:i/>
          <w:iCs/>
          <w:shd w:val="clear" w:color="auto" w:fill="FFFFFF"/>
        </w:rPr>
        <w:t>Prav</w:t>
      </w:r>
      <w:proofErr w:type="spellEnd"/>
      <w:r>
        <w:rPr>
          <w:i/>
          <w:iCs/>
          <w:shd w:val="clear" w:color="auto" w:fill="FFFFFF"/>
        </w:rPr>
        <w:t xml:space="preserve">. </w:t>
      </w:r>
      <w:proofErr w:type="spellStart"/>
      <w:proofErr w:type="gramStart"/>
      <w:r>
        <w:rPr>
          <w:i/>
          <w:iCs/>
          <w:shd w:val="clear" w:color="auto" w:fill="FFFFFF"/>
        </w:rPr>
        <w:t>Fak</w:t>
      </w:r>
      <w:proofErr w:type="spellEnd"/>
      <w:r>
        <w:rPr>
          <w:i/>
          <w:iCs/>
          <w:shd w:val="clear" w:color="auto" w:fill="FFFFFF"/>
        </w:rPr>
        <w:t>.</w:t>
      </w:r>
      <w:proofErr w:type="gramEnd"/>
      <w:r>
        <w:rPr>
          <w:i/>
          <w:iCs/>
          <w:shd w:val="clear" w:color="auto" w:fill="FFFFFF"/>
        </w:rPr>
        <w:t xml:space="preserve"> </w:t>
      </w:r>
      <w:proofErr w:type="spellStart"/>
      <w:proofErr w:type="gramStart"/>
      <w:r>
        <w:rPr>
          <w:i/>
          <w:iCs/>
          <w:shd w:val="clear" w:color="auto" w:fill="FFFFFF"/>
        </w:rPr>
        <w:t>Sveuc</w:t>
      </w:r>
      <w:proofErr w:type="spellEnd"/>
      <w:r>
        <w:rPr>
          <w:i/>
          <w:iCs/>
          <w:shd w:val="clear" w:color="auto" w:fill="FFFFFF"/>
        </w:rPr>
        <w:t>.</w:t>
      </w:r>
      <w:proofErr w:type="gramEnd"/>
      <w:r>
        <w:rPr>
          <w:i/>
          <w:iCs/>
          <w:shd w:val="clear" w:color="auto" w:fill="FFFFFF"/>
        </w:rPr>
        <w:t xml:space="preserve"> </w:t>
      </w:r>
      <w:proofErr w:type="spellStart"/>
      <w:proofErr w:type="gramStart"/>
      <w:r>
        <w:rPr>
          <w:i/>
          <w:iCs/>
          <w:shd w:val="clear" w:color="auto" w:fill="FFFFFF"/>
        </w:rPr>
        <w:t>Rij</w:t>
      </w:r>
      <w:proofErr w:type="spellEnd"/>
      <w:r>
        <w:rPr>
          <w:i/>
          <w:iCs/>
          <w:shd w:val="clear" w:color="auto" w:fill="FFFFFF"/>
        </w:rPr>
        <w:t>.</w:t>
      </w:r>
      <w:r>
        <w:rPr>
          <w:shd w:val="clear" w:color="auto" w:fill="FFFFFF"/>
        </w:rPr>
        <w:t>,</w:t>
      </w:r>
      <w:proofErr w:type="gramEnd"/>
      <w:r>
        <w:rPr>
          <w:shd w:val="clear" w:color="auto" w:fill="FFFFFF"/>
        </w:rPr>
        <w:t> </w:t>
      </w:r>
      <w:r>
        <w:rPr>
          <w:i/>
          <w:iCs/>
          <w:shd w:val="clear" w:color="auto" w:fill="FFFFFF"/>
        </w:rPr>
        <w:t>41</w:t>
      </w:r>
      <w:r>
        <w:rPr>
          <w:shd w:val="clear" w:color="auto" w:fill="FFFFFF"/>
        </w:rPr>
        <w:t>, 781.</w:t>
      </w:r>
    </w:p>
    <w:p w:rsidR="00E2540D" w:rsidRDefault="00E2540D" w:rsidP="00E2540D">
      <w:pPr>
        <w:spacing w:line="480" w:lineRule="auto"/>
        <w:ind w:left="720" w:hanging="720"/>
      </w:pPr>
      <w:proofErr w:type="gramStart"/>
      <w:r>
        <w:rPr>
          <w:shd w:val="clear" w:color="auto" w:fill="FFFFFF"/>
        </w:rPr>
        <w:t>Mora, V. (2020).</w:t>
      </w:r>
      <w:proofErr w:type="gramEnd"/>
      <w:r>
        <w:rPr>
          <w:shd w:val="clear" w:color="auto" w:fill="FFFFFF"/>
        </w:rPr>
        <w:t xml:space="preserve"> Police response to juvenile gangs and gang violence. </w:t>
      </w:r>
      <w:proofErr w:type="gramStart"/>
      <w:r>
        <w:rPr>
          <w:shd w:val="clear" w:color="auto" w:fill="FFFFFF"/>
        </w:rPr>
        <w:t>In </w:t>
      </w:r>
      <w:r>
        <w:rPr>
          <w:i/>
          <w:iCs/>
          <w:shd w:val="clear" w:color="auto" w:fill="FFFFFF"/>
        </w:rPr>
        <w:t>Oxford Research Encyclopedia of Criminology and Criminal Justice</w:t>
      </w:r>
      <w:r>
        <w:rPr>
          <w:shd w:val="clear" w:color="auto" w:fill="FFFFFF"/>
        </w:rPr>
        <w:t>.</w:t>
      </w:r>
      <w:proofErr w:type="gramEnd"/>
    </w:p>
    <w:p w:rsidR="00E2540D" w:rsidRDefault="00E2540D" w:rsidP="00E2540D">
      <w:pPr>
        <w:spacing w:line="480" w:lineRule="auto"/>
        <w:ind w:left="720" w:hanging="720"/>
        <w:rPr>
          <w:shd w:val="clear" w:color="auto" w:fill="FFFFFF"/>
        </w:rPr>
      </w:pPr>
      <w:proofErr w:type="gramStart"/>
      <w:r>
        <w:rPr>
          <w:i/>
          <w:iCs/>
          <w:shd w:val="clear" w:color="auto" w:fill="FFFFFF"/>
        </w:rPr>
        <w:t>New Jersey v. TLO</w:t>
      </w:r>
      <w:r>
        <w:rPr>
          <w:shd w:val="clear" w:color="auto" w:fill="FFFFFF"/>
        </w:rPr>
        <w:t>, 469 U.S. 325, 105 S. Ct. 733, 83 L. Ed. 2d 720 (1985).</w:t>
      </w:r>
      <w:proofErr w:type="gramEnd"/>
    </w:p>
    <w:p w:rsidR="00E2540D" w:rsidRDefault="00E2540D" w:rsidP="00E2540D">
      <w:pPr>
        <w:spacing w:line="480" w:lineRule="auto"/>
        <w:ind w:left="720" w:hanging="720"/>
        <w:rPr>
          <w:shd w:val="clear" w:color="auto" w:fill="FFFFFF"/>
        </w:rPr>
      </w:pPr>
      <w:r>
        <w:rPr>
          <w:i/>
          <w:iCs/>
          <w:shd w:val="clear" w:color="auto" w:fill="FFFFFF"/>
        </w:rPr>
        <w:t>Safford Unified School Dist. No. 1 v. Redding</w:t>
      </w:r>
      <w:r>
        <w:rPr>
          <w:shd w:val="clear" w:color="auto" w:fill="FFFFFF"/>
        </w:rPr>
        <w:t>, 557 U.S. 364, 129 S. Ct. 2633, 174 L. Ed. 2d 354 (2009).</w:t>
      </w:r>
    </w:p>
    <w:p w:rsidR="00E2540D" w:rsidRDefault="00E2540D" w:rsidP="00E2540D">
      <w:pPr>
        <w:spacing w:line="480" w:lineRule="auto"/>
        <w:ind w:left="720" w:hanging="720"/>
        <w:rPr>
          <w:shd w:val="clear" w:color="auto" w:fill="FFFFFF"/>
        </w:rPr>
      </w:pPr>
      <w:r>
        <w:rPr>
          <w:shd w:val="clear" w:color="auto" w:fill="FFFFFF"/>
        </w:rPr>
        <w:t xml:space="preserve">Wolf, K. C. (2017). </w:t>
      </w:r>
      <w:proofErr w:type="gramStart"/>
      <w:r>
        <w:rPr>
          <w:shd w:val="clear" w:color="auto" w:fill="FFFFFF"/>
        </w:rPr>
        <w:t>Assessing students' civil rights claims against school resource officers.</w:t>
      </w:r>
      <w:proofErr w:type="gramEnd"/>
      <w:r>
        <w:rPr>
          <w:shd w:val="clear" w:color="auto" w:fill="FFFFFF"/>
        </w:rPr>
        <w:t> </w:t>
      </w:r>
      <w:proofErr w:type="gramStart"/>
      <w:r>
        <w:rPr>
          <w:i/>
          <w:iCs/>
          <w:shd w:val="clear" w:color="auto" w:fill="FFFFFF"/>
        </w:rPr>
        <w:t>Pace L. Rev.</w:t>
      </w:r>
      <w:r>
        <w:rPr>
          <w:shd w:val="clear" w:color="auto" w:fill="FFFFFF"/>
        </w:rPr>
        <w:t>, </w:t>
      </w:r>
      <w:r>
        <w:rPr>
          <w:i/>
          <w:iCs/>
          <w:shd w:val="clear" w:color="auto" w:fill="FFFFFF"/>
        </w:rPr>
        <w:t>38</w:t>
      </w:r>
      <w:r>
        <w:rPr>
          <w:shd w:val="clear" w:color="auto" w:fill="FFFFFF"/>
        </w:rPr>
        <w:t>, 215.</w:t>
      </w:r>
      <w:proofErr w:type="gramEnd"/>
    </w:p>
    <w:sectPr w:rsidR="00E254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838" w:rsidRDefault="00561838" w:rsidP="007776A2">
      <w:pPr>
        <w:spacing w:after="0" w:line="240" w:lineRule="auto"/>
      </w:pPr>
      <w:r>
        <w:separator/>
      </w:r>
    </w:p>
  </w:endnote>
  <w:endnote w:type="continuationSeparator" w:id="0">
    <w:p w:rsidR="00561838" w:rsidRDefault="00561838" w:rsidP="0077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838" w:rsidRDefault="00561838" w:rsidP="007776A2">
      <w:pPr>
        <w:spacing w:after="0" w:line="240" w:lineRule="auto"/>
      </w:pPr>
      <w:r>
        <w:separator/>
      </w:r>
    </w:p>
  </w:footnote>
  <w:footnote w:type="continuationSeparator" w:id="0">
    <w:p w:rsidR="00561838" w:rsidRDefault="00561838" w:rsidP="00777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600538"/>
      <w:docPartObj>
        <w:docPartGallery w:val="Page Numbers (Top of Page)"/>
        <w:docPartUnique/>
      </w:docPartObj>
    </w:sdtPr>
    <w:sdtEndPr>
      <w:rPr>
        <w:noProof/>
      </w:rPr>
    </w:sdtEndPr>
    <w:sdtContent>
      <w:p w:rsidR="007776A2" w:rsidRDefault="007776A2">
        <w:pPr>
          <w:pStyle w:val="Header"/>
          <w:jc w:val="right"/>
        </w:pPr>
        <w:r>
          <w:fldChar w:fldCharType="begin"/>
        </w:r>
        <w:r>
          <w:instrText xml:space="preserve"> PAGE   \* MERGEFORMAT </w:instrText>
        </w:r>
        <w:r>
          <w:fldChar w:fldCharType="separate"/>
        </w:r>
        <w:r w:rsidR="00E2540D">
          <w:rPr>
            <w:noProof/>
          </w:rPr>
          <w:t>6</w:t>
        </w:r>
        <w:r>
          <w:rPr>
            <w:noProof/>
          </w:rPr>
          <w:fldChar w:fldCharType="end"/>
        </w:r>
      </w:p>
    </w:sdtContent>
  </w:sdt>
  <w:p w:rsidR="007776A2" w:rsidRDefault="007776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1FD"/>
    <w:rsid w:val="00024CD3"/>
    <w:rsid w:val="003C79BB"/>
    <w:rsid w:val="00561838"/>
    <w:rsid w:val="005769D1"/>
    <w:rsid w:val="007305F4"/>
    <w:rsid w:val="007776A2"/>
    <w:rsid w:val="007B240E"/>
    <w:rsid w:val="009801FD"/>
    <w:rsid w:val="009A36B6"/>
    <w:rsid w:val="009A3C5F"/>
    <w:rsid w:val="00AF51CD"/>
    <w:rsid w:val="00B56FF3"/>
    <w:rsid w:val="00B63B51"/>
    <w:rsid w:val="00C34FD4"/>
    <w:rsid w:val="00CE665E"/>
    <w:rsid w:val="00D465B6"/>
    <w:rsid w:val="00D860D2"/>
    <w:rsid w:val="00E2540D"/>
    <w:rsid w:val="00E55532"/>
    <w:rsid w:val="00F1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6A2"/>
  </w:style>
  <w:style w:type="paragraph" w:styleId="Footer">
    <w:name w:val="footer"/>
    <w:basedOn w:val="Normal"/>
    <w:link w:val="FooterChar"/>
    <w:uiPriority w:val="99"/>
    <w:unhideWhenUsed/>
    <w:rsid w:val="00777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6A2"/>
  </w:style>
  <w:style w:type="paragraph" w:styleId="Footer">
    <w:name w:val="footer"/>
    <w:basedOn w:val="Normal"/>
    <w:link w:val="FooterChar"/>
    <w:uiPriority w:val="99"/>
    <w:unhideWhenUsed/>
    <w:rsid w:val="00777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9</cp:revision>
  <dcterms:created xsi:type="dcterms:W3CDTF">2021-05-09T00:43:00Z</dcterms:created>
  <dcterms:modified xsi:type="dcterms:W3CDTF">2021-05-09T03:47:00Z</dcterms:modified>
</cp:coreProperties>
</file>